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7D" w:rsidRPr="00E72678" w:rsidRDefault="0079577D" w:rsidP="0079577D">
      <w:pPr>
        <w:shd w:val="clear" w:color="auto" w:fill="EEF0ED"/>
        <w:spacing w:before="90" w:after="150" w:line="525" w:lineRule="atLeast"/>
        <w:outlineLvl w:val="0"/>
        <w:rPr>
          <w:rFonts w:ascii="Segoe UI" w:eastAsia="Times New Roman" w:hAnsi="Segoe UI" w:cs="Segoe UI"/>
          <w:b/>
          <w:bCs/>
          <w:color w:val="3B4238"/>
          <w:kern w:val="36"/>
          <w:sz w:val="45"/>
          <w:szCs w:val="45"/>
        </w:rPr>
      </w:pPr>
      <w:r w:rsidRPr="00E72678">
        <w:rPr>
          <w:rFonts w:ascii="Segoe UI" w:eastAsia="Times New Roman" w:hAnsi="Segoe UI" w:cs="Segoe UI"/>
          <w:b/>
          <w:bCs/>
          <w:color w:val="3B4238"/>
          <w:kern w:val="36"/>
          <w:sz w:val="45"/>
          <w:szCs w:val="45"/>
        </w:rPr>
        <w:t>Notice to Residential Customers</w:t>
      </w:r>
    </w:p>
    <w:p w:rsidR="0079577D" w:rsidRPr="0079577D" w:rsidRDefault="0079577D" w:rsidP="0079577D">
      <w:r w:rsidRPr="0079577D">
        <w:t xml:space="preserve">Thank you for choosing CFT for your equipment needs. CFT will ship </w:t>
      </w:r>
      <w:r>
        <w:t>select</w:t>
      </w:r>
      <w:r w:rsidRPr="0079577D">
        <w:t xml:space="preserve"> items to residential customers. We would like to bring some important information to your attention to ensure a smooth experience.</w:t>
      </w:r>
    </w:p>
    <w:p w:rsidR="0079577D" w:rsidRPr="0079577D" w:rsidRDefault="0079577D" w:rsidP="0079577D">
      <w:pPr>
        <w:rPr>
          <w:b/>
          <w:bCs/>
        </w:rPr>
      </w:pPr>
      <w:r w:rsidRPr="0079577D">
        <w:rPr>
          <w:b/>
          <w:bCs/>
        </w:rPr>
        <w:t>Commercial Refrigeration and Cooking Equipment</w:t>
      </w:r>
    </w:p>
    <w:p w:rsidR="0079577D" w:rsidRPr="0079577D" w:rsidRDefault="0079577D" w:rsidP="0079577D">
      <w:r w:rsidRPr="0079577D">
        <w:t>When considering commercial-grade equipment for residential use, please be aware of the following factors:</w:t>
      </w:r>
    </w:p>
    <w:p w:rsidR="0079577D" w:rsidRPr="0079577D" w:rsidRDefault="0079577D" w:rsidP="0079577D">
      <w:pPr>
        <w:numPr>
          <w:ilvl w:val="0"/>
          <w:numId w:val="1"/>
        </w:numPr>
      </w:pPr>
      <w:r w:rsidRPr="0079577D">
        <w:rPr>
          <w:b/>
          <w:bCs/>
        </w:rPr>
        <w:t>Functionality and Heavy Use:</w:t>
      </w:r>
      <w:r w:rsidRPr="0079577D">
        <w:t xml:space="preserve"> Commercial equipment is designed for heavy commercial use and may not meet typical consumer-level expectations in terms of aesthetics or ease-of-use.</w:t>
      </w:r>
    </w:p>
    <w:p w:rsidR="0079577D" w:rsidRPr="0079577D" w:rsidRDefault="0079577D" w:rsidP="0079577D">
      <w:pPr>
        <w:numPr>
          <w:ilvl w:val="0"/>
          <w:numId w:val="1"/>
        </w:numPr>
      </w:pPr>
      <w:r w:rsidRPr="0079577D">
        <w:rPr>
          <w:b/>
          <w:bCs/>
        </w:rPr>
        <w:t>Noise and Power Consumption:</w:t>
      </w:r>
      <w:r w:rsidRPr="0079577D">
        <w:t xml:space="preserve"> Commercial cooking equipment is often louder than its non-commercial counterparts and consumes more power, reflecting its design for commercial-scale operations.</w:t>
      </w:r>
    </w:p>
    <w:p w:rsidR="0079577D" w:rsidRPr="0079577D" w:rsidRDefault="0079577D" w:rsidP="0079577D">
      <w:pPr>
        <w:numPr>
          <w:ilvl w:val="0"/>
          <w:numId w:val="1"/>
        </w:numPr>
      </w:pPr>
      <w:r w:rsidRPr="0079577D">
        <w:rPr>
          <w:b/>
          <w:bCs/>
        </w:rPr>
        <w:t>Heat Generation and Insulation:</w:t>
      </w:r>
      <w:r w:rsidRPr="0079577D">
        <w:t xml:space="preserve"> Commercial equipment may not be as thoroughly insulated as consumer-level alternatives, leading to increased heat generation. Additionally, certain pieces may require ventilation and fire-suppression systems to comply with local codes.</w:t>
      </w:r>
    </w:p>
    <w:p w:rsidR="0079577D" w:rsidRPr="0079577D" w:rsidRDefault="0079577D" w:rsidP="0079577D">
      <w:pPr>
        <w:numPr>
          <w:ilvl w:val="0"/>
          <w:numId w:val="1"/>
        </w:numPr>
      </w:pPr>
      <w:r w:rsidRPr="0079577D">
        <w:rPr>
          <w:b/>
          <w:bCs/>
        </w:rPr>
        <w:t>Insurance and Warranty:</w:t>
      </w:r>
      <w:r w:rsidRPr="0079577D">
        <w:t xml:space="preserve"> Installing commercial equipment in a non-commercial setting may void your homeowner's insurance and the equipment manufacturer's warranty.</w:t>
      </w:r>
    </w:p>
    <w:p w:rsidR="0079577D" w:rsidRPr="0079577D" w:rsidRDefault="0079577D" w:rsidP="0079577D">
      <w:pPr>
        <w:rPr>
          <w:b/>
          <w:bCs/>
        </w:rPr>
      </w:pPr>
      <w:r w:rsidRPr="0079577D">
        <w:rPr>
          <w:b/>
          <w:bCs/>
        </w:rPr>
        <w:t>Shipment Denial for Residential Usage</w:t>
      </w:r>
    </w:p>
    <w:p w:rsidR="0079577D" w:rsidRPr="0079577D" w:rsidRDefault="0079577D" w:rsidP="0079577D">
      <w:r w:rsidRPr="0079577D">
        <w:t>We reserve the right to deny shipment for residential use. In such cases, you will be promptly notified.</w:t>
      </w:r>
    </w:p>
    <w:p w:rsidR="0079577D" w:rsidRPr="0079577D" w:rsidRDefault="0079577D" w:rsidP="0079577D">
      <w:r w:rsidRPr="0079577D">
        <w:t>If you have any doubts about the suitability of a particular piece of equipment for non-commercial use, please contact our Customer Solutions Department for guidance.</w:t>
      </w:r>
    </w:p>
    <w:p w:rsidR="0079577D" w:rsidRPr="0079577D" w:rsidRDefault="0079577D" w:rsidP="0079577D">
      <w:pPr>
        <w:rPr>
          <w:b/>
          <w:bCs/>
        </w:rPr>
      </w:pPr>
      <w:r w:rsidRPr="0079577D">
        <w:rPr>
          <w:b/>
          <w:bCs/>
        </w:rPr>
        <w:t>Return Policy</w:t>
      </w:r>
    </w:p>
    <w:p w:rsidR="0079577D" w:rsidRPr="0079577D" w:rsidRDefault="0079577D" w:rsidP="0079577D">
      <w:pPr>
        <w:numPr>
          <w:ilvl w:val="0"/>
          <w:numId w:val="2"/>
        </w:numPr>
      </w:pPr>
      <w:r w:rsidRPr="0079577D">
        <w:rPr>
          <w:b/>
          <w:bCs/>
        </w:rPr>
        <w:t>Non-returnable Items:</w:t>
      </w:r>
      <w:r w:rsidRPr="0079577D">
        <w:t xml:space="preserve"> Equipment, consumables, and special order items cannot be returned.</w:t>
      </w:r>
    </w:p>
    <w:p w:rsidR="0079577D" w:rsidRPr="0079577D" w:rsidRDefault="0079577D" w:rsidP="0079577D">
      <w:pPr>
        <w:numPr>
          <w:ilvl w:val="0"/>
          <w:numId w:val="2"/>
        </w:numPr>
      </w:pPr>
      <w:r w:rsidRPr="0079577D">
        <w:rPr>
          <w:b/>
          <w:bCs/>
        </w:rPr>
        <w:t>Return Period:</w:t>
      </w:r>
      <w:r w:rsidRPr="0079577D">
        <w:t xml:space="preserve"> Regularly stocked, non-equipment items may be returned within 30 days from receipt provided they are unused and in the original manufacturer packaging.</w:t>
      </w:r>
    </w:p>
    <w:p w:rsidR="0079577D" w:rsidRPr="0079577D" w:rsidRDefault="0079577D" w:rsidP="0079577D">
      <w:pPr>
        <w:numPr>
          <w:ilvl w:val="0"/>
          <w:numId w:val="2"/>
        </w:numPr>
      </w:pPr>
      <w:r w:rsidRPr="0079577D">
        <w:rPr>
          <w:b/>
          <w:bCs/>
        </w:rPr>
        <w:t>Restocking Fee:</w:t>
      </w:r>
      <w:r w:rsidRPr="0079577D">
        <w:t xml:space="preserve"> A 30% restocking fee applies to eligible returns.</w:t>
      </w:r>
    </w:p>
    <w:p w:rsidR="0079577D" w:rsidRPr="0079577D" w:rsidRDefault="0079577D" w:rsidP="0079577D">
      <w:pPr>
        <w:numPr>
          <w:ilvl w:val="0"/>
          <w:numId w:val="2"/>
        </w:numPr>
      </w:pPr>
      <w:r w:rsidRPr="0079577D">
        <w:rPr>
          <w:b/>
          <w:bCs/>
        </w:rPr>
        <w:t>Return Process:</w:t>
      </w:r>
      <w:r w:rsidRPr="0079577D">
        <w:t xml:space="preserve"> Contact us before returning any part of your order. The return-shipping fee is your responsibility.</w:t>
      </w:r>
    </w:p>
    <w:p w:rsidR="0079577D" w:rsidRPr="0079577D" w:rsidRDefault="0079577D" w:rsidP="0079577D">
      <w:pPr>
        <w:numPr>
          <w:ilvl w:val="0"/>
          <w:numId w:val="2"/>
        </w:numPr>
      </w:pPr>
      <w:r w:rsidRPr="0079577D">
        <w:rPr>
          <w:b/>
          <w:bCs/>
        </w:rPr>
        <w:t>Credit Process:</w:t>
      </w:r>
      <w:r w:rsidRPr="0079577D">
        <w:t xml:space="preserve"> Upon receipt and inspection of returned products, you will be credited for the item(s) amount minus the restocking fee.</w:t>
      </w:r>
    </w:p>
    <w:p w:rsidR="0079577D" w:rsidRPr="0079577D" w:rsidRDefault="0079577D" w:rsidP="0079577D">
      <w:pPr>
        <w:rPr>
          <w:b/>
          <w:bCs/>
        </w:rPr>
      </w:pPr>
      <w:r w:rsidRPr="0079577D">
        <w:rPr>
          <w:b/>
          <w:bCs/>
        </w:rPr>
        <w:lastRenderedPageBreak/>
        <w:t>Item Policy</w:t>
      </w:r>
    </w:p>
    <w:p w:rsidR="0079577D" w:rsidRPr="0079577D" w:rsidRDefault="0079577D" w:rsidP="0079577D">
      <w:r w:rsidRPr="0079577D">
        <w:t>For value-priced imported items, sources may change, resulting in slight variations from what is pictured or ordered in the past.</w:t>
      </w:r>
    </w:p>
    <w:p w:rsidR="00037030" w:rsidRDefault="00037030">
      <w:bookmarkStart w:id="0" w:name="_GoBack"/>
      <w:bookmarkEnd w:id="0"/>
    </w:p>
    <w:sectPr w:rsidR="0003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40E2"/>
    <w:multiLevelType w:val="multilevel"/>
    <w:tmpl w:val="A4E6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54113E"/>
    <w:multiLevelType w:val="multilevel"/>
    <w:tmpl w:val="6F2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7D"/>
    <w:rsid w:val="00037030"/>
    <w:rsid w:val="007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2023-11-12T23:54:00Z</dcterms:created>
  <dcterms:modified xsi:type="dcterms:W3CDTF">2023-11-12T23:59:00Z</dcterms:modified>
</cp:coreProperties>
</file>